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E5" w:rsidRDefault="005E3B1C">
      <w:pPr>
        <w:rPr>
          <w:b/>
        </w:rPr>
      </w:pPr>
      <w:r w:rsidRPr="005E3B1C">
        <w:rPr>
          <w:b/>
        </w:rPr>
        <w:t>08.06.2020 poniedziałek</w:t>
      </w:r>
    </w:p>
    <w:p w:rsidR="005E3B1C" w:rsidRDefault="005E3B1C">
      <w:pPr>
        <w:rPr>
          <w:u w:val="single"/>
        </w:rPr>
      </w:pPr>
      <w:r w:rsidRPr="005E3B1C">
        <w:rPr>
          <w:u w:val="single"/>
        </w:rPr>
        <w:t xml:space="preserve">Temat: Graniastosłupy proste (zapisz w zeszycie) </w:t>
      </w:r>
    </w:p>
    <w:p w:rsidR="005E3B1C" w:rsidRDefault="005E3B1C">
      <w:r w:rsidRPr="005E3B1C">
        <w:t>Przeczytaj informa</w:t>
      </w:r>
      <w:r>
        <w:t xml:space="preserve">cję w podręczniku od strony 222. Zwróć uwagę jak zbudowany jest graniastosłup prosty oraz jak obliczamy pole powierzchni całkowitej graniastosłupa. </w:t>
      </w:r>
    </w:p>
    <w:p w:rsidR="005E3B1C" w:rsidRPr="005E3B1C" w:rsidRDefault="005E3B1C">
      <w:r>
        <w:t>Wykonaj ćwiczenia na stronie 106 i 107</w:t>
      </w:r>
    </w:p>
    <w:p w:rsidR="005E3B1C" w:rsidRDefault="005E3B1C">
      <w:pPr>
        <w:rPr>
          <w:b/>
        </w:rPr>
      </w:pPr>
      <w:r w:rsidRPr="005E3B1C">
        <w:rPr>
          <w:b/>
        </w:rPr>
        <w:t xml:space="preserve">09.06.2020 wtorek </w:t>
      </w:r>
    </w:p>
    <w:p w:rsidR="005E3B1C" w:rsidRPr="005E3B1C" w:rsidRDefault="005E3B1C">
      <w:pPr>
        <w:rPr>
          <w:u w:val="single"/>
        </w:rPr>
      </w:pPr>
      <w:r w:rsidRPr="005E3B1C">
        <w:rPr>
          <w:u w:val="single"/>
        </w:rPr>
        <w:t xml:space="preserve">Temat: Graniastosłupy proste (zapisz w zeszycie) </w:t>
      </w:r>
    </w:p>
    <w:p w:rsidR="005E3B1C" w:rsidRPr="005E3B1C" w:rsidRDefault="005E3B1C">
      <w:r w:rsidRPr="005E3B1C">
        <w:t xml:space="preserve">Wykonaj zadania </w:t>
      </w:r>
      <w:r>
        <w:t>7 i 9 str. 225</w:t>
      </w:r>
    </w:p>
    <w:p w:rsidR="005E3B1C" w:rsidRDefault="005E3B1C">
      <w:pPr>
        <w:rPr>
          <w:b/>
        </w:rPr>
      </w:pPr>
      <w:r w:rsidRPr="005E3B1C">
        <w:rPr>
          <w:b/>
        </w:rPr>
        <w:t xml:space="preserve">10.06.2020 środa </w:t>
      </w:r>
    </w:p>
    <w:p w:rsidR="005E3B1C" w:rsidRDefault="005E3B1C">
      <w:pPr>
        <w:rPr>
          <w:b/>
          <w:color w:val="FF0000"/>
        </w:rPr>
      </w:pPr>
      <w:r w:rsidRPr="005E3B1C">
        <w:rPr>
          <w:b/>
          <w:color w:val="FF0000"/>
        </w:rPr>
        <w:t xml:space="preserve">Lekcja on-line </w:t>
      </w:r>
    </w:p>
    <w:p w:rsidR="005E3B1C" w:rsidRDefault="005E3B1C">
      <w:pPr>
        <w:rPr>
          <w:color w:val="000000" w:themeColor="text1"/>
          <w:u w:val="single"/>
        </w:rPr>
      </w:pPr>
      <w:r w:rsidRPr="005E3B1C">
        <w:rPr>
          <w:color w:val="000000" w:themeColor="text1"/>
          <w:u w:val="single"/>
        </w:rPr>
        <w:t>Temat: Objętość gran</w:t>
      </w:r>
      <w:r>
        <w:rPr>
          <w:color w:val="000000" w:themeColor="text1"/>
          <w:u w:val="single"/>
        </w:rPr>
        <w:t xml:space="preserve">iastosłupa (zapisz w zeszycie) </w:t>
      </w:r>
    </w:p>
    <w:p w:rsidR="005E3B1C" w:rsidRDefault="005E3B1C">
      <w:pPr>
        <w:rPr>
          <w:color w:val="000000" w:themeColor="text1"/>
        </w:rPr>
      </w:pPr>
      <w:r>
        <w:rPr>
          <w:color w:val="000000" w:themeColor="text1"/>
        </w:rPr>
        <w:t>Pod tematem narysuj prostopadłościan i sześcian i</w:t>
      </w:r>
      <w:r w:rsidR="007D13EF">
        <w:rPr>
          <w:color w:val="000000" w:themeColor="text1"/>
        </w:rPr>
        <w:t xml:space="preserve"> obok zapisz wzory na objętość ( podręcznik str. 227). Zapisz jednostki objętości. </w:t>
      </w:r>
    </w:p>
    <w:p w:rsidR="007D13EF" w:rsidRDefault="007D13EF">
      <w:pPr>
        <w:rPr>
          <w:color w:val="000000" w:themeColor="text1"/>
        </w:rPr>
      </w:pPr>
      <w:r>
        <w:rPr>
          <w:color w:val="000000" w:themeColor="text1"/>
        </w:rPr>
        <w:t xml:space="preserve">Narysuj graniastosłup i zapisz obok wzór na jego objętość (podręcznik str. 228). </w:t>
      </w:r>
    </w:p>
    <w:p w:rsidR="007D13EF" w:rsidRDefault="007D13EF">
      <w:pPr>
        <w:rPr>
          <w:color w:val="000000" w:themeColor="text1"/>
        </w:rPr>
      </w:pPr>
      <w:r>
        <w:rPr>
          <w:color w:val="000000" w:themeColor="text1"/>
        </w:rPr>
        <w:t>Wspólnie wykonamy ćwiczenie 4 str. 109</w:t>
      </w:r>
    </w:p>
    <w:p w:rsidR="007D13EF" w:rsidRDefault="007D13EF">
      <w:pPr>
        <w:rPr>
          <w:color w:val="000000" w:themeColor="text1"/>
        </w:rPr>
      </w:pPr>
      <w:r>
        <w:rPr>
          <w:color w:val="000000" w:themeColor="text1"/>
        </w:rPr>
        <w:t>Samodzielnie ćwiczenie 3 str. 108</w:t>
      </w:r>
      <w:bookmarkStart w:id="0" w:name="_GoBack"/>
      <w:bookmarkEnd w:id="0"/>
    </w:p>
    <w:p w:rsidR="007D13EF" w:rsidRDefault="007D13EF">
      <w:pPr>
        <w:rPr>
          <w:color w:val="000000" w:themeColor="text1"/>
        </w:rPr>
      </w:pPr>
      <w:r>
        <w:rPr>
          <w:color w:val="000000" w:themeColor="text1"/>
        </w:rPr>
        <w:t>Zobacz filmiki:</w:t>
      </w:r>
    </w:p>
    <w:p w:rsidR="007D13EF" w:rsidRDefault="007D13EF">
      <w:pPr>
        <w:rPr>
          <w:color w:val="000000" w:themeColor="text1"/>
        </w:rPr>
      </w:pPr>
      <w:hyperlink r:id="rId4" w:history="1">
        <w:r>
          <w:rPr>
            <w:rStyle w:val="Hipercze"/>
          </w:rPr>
          <w:t>https://pistacja.tv/film/mat00248-objetosc-i-jednostki-objetosci-wprowadzenie?playlist=510</w:t>
        </w:r>
      </w:hyperlink>
    </w:p>
    <w:p w:rsidR="007D13EF" w:rsidRPr="005E3B1C" w:rsidRDefault="007D13EF">
      <w:pPr>
        <w:rPr>
          <w:color w:val="000000" w:themeColor="text1"/>
        </w:rPr>
      </w:pPr>
      <w:hyperlink r:id="rId5" w:history="1">
        <w:r>
          <w:rPr>
            <w:rStyle w:val="Hipercze"/>
          </w:rPr>
          <w:t>https://pistacja.tv/film/mat00249-objetosc-prostopadloscianu-i-szescianu?playlist=510</w:t>
        </w:r>
      </w:hyperlink>
    </w:p>
    <w:sectPr w:rsidR="007D13EF" w:rsidRPr="005E3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1B8"/>
    <w:rsid w:val="005848E5"/>
    <w:rsid w:val="005E3B1C"/>
    <w:rsid w:val="007821B8"/>
    <w:rsid w:val="007D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27C2"/>
  <w15:chartTrackingRefBased/>
  <w15:docId w15:val="{B3720AB4-2E4A-4001-B56E-32DA0F82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D1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stacja.tv/film/mat00249-objetosc-prostopadloscianu-i-szescianu?playlist=510" TargetMode="External"/><Relationship Id="rId4" Type="http://schemas.openxmlformats.org/officeDocument/2006/relationships/hyperlink" Target="https://pistacja.tv/film/mat00248-objetosc-i-jednostki-objetosci-wprowadzenie?playlist=5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2020-06-02T17:49:00Z</dcterms:created>
  <dcterms:modified xsi:type="dcterms:W3CDTF">2020-06-02T18:07:00Z</dcterms:modified>
</cp:coreProperties>
</file>